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spacing w:before="26"/>
        <w:ind w:left="4469" w:right="0" w:firstLine="0"/>
        <w:jc w:val="left"/>
        <w:rPr>
          <w:rFonts w:ascii="Trebuchet MS"/>
          <w:sz w:val="32"/>
        </w:rPr>
      </w:pPr>
      <w:r>
        <w:rPr>
          <w:rFonts w:ascii="Trebuchet MS"/>
          <w:color w:val="231F20"/>
          <w:spacing w:val="5"/>
          <w:sz w:val="32"/>
        </w:rPr>
        <w:t>RULE </w:t>
      </w:r>
      <w:r>
        <w:rPr>
          <w:rFonts w:ascii="Trebuchet MS"/>
          <w:color w:val="231F20"/>
          <w:spacing w:val="6"/>
          <w:sz w:val="32"/>
        </w:rPr>
        <w:t>OF</w:t>
      </w:r>
      <w:r>
        <w:rPr>
          <w:rFonts w:ascii="Trebuchet MS"/>
          <w:color w:val="231F20"/>
          <w:spacing w:val="-49"/>
          <w:sz w:val="32"/>
        </w:rPr>
        <w:t> </w:t>
      </w:r>
      <w:r>
        <w:rPr>
          <w:rFonts w:ascii="Trebuchet MS"/>
          <w:color w:val="231F20"/>
          <w:spacing w:val="3"/>
          <w:sz w:val="32"/>
        </w:rPr>
        <w:t>THIRDS</w:t>
      </w:r>
    </w:p>
    <w:p>
      <w:pPr>
        <w:pStyle w:val="BodyText"/>
        <w:spacing w:before="198"/>
        <w:ind w:left="4469" w:right="157"/>
      </w:pPr>
      <w:r>
        <w:rPr>
          <w:color w:val="231F20"/>
          <w:w w:val="105"/>
        </w:rPr>
        <w:t>The rule of thirds is a guideline commonly used in painting, </w:t>
      </w:r>
      <w:r>
        <w:rPr>
          <w:color w:val="231F20"/>
          <w:spacing w:val="-4"/>
          <w:w w:val="105"/>
        </w:rPr>
        <w:t>photography, </w:t>
      </w:r>
      <w:r>
        <w:rPr>
          <w:color w:val="231F20"/>
          <w:w w:val="105"/>
        </w:rPr>
        <w:t>and design. The rule of </w:t>
      </w:r>
      <w:r>
        <w:rPr>
          <w:color w:val="231F20"/>
          <w:spacing w:val="-2"/>
          <w:w w:val="105"/>
        </w:rPr>
        <w:t>thirds </w:t>
      </w:r>
      <w:r>
        <w:rPr>
          <w:color w:val="231F20"/>
          <w:w w:val="105"/>
        </w:rPr>
        <w:t>means that the subject </w:t>
      </w:r>
      <w:r>
        <w:rPr>
          <w:color w:val="231F20"/>
          <w:spacing w:val="-3"/>
          <w:w w:val="105"/>
        </w:rPr>
        <w:t>isn’t </w:t>
      </w:r>
      <w:r>
        <w:rPr>
          <w:color w:val="231F20"/>
          <w:w w:val="105"/>
        </w:rPr>
        <w:t>centered; </w:t>
      </w:r>
      <w:r>
        <w:rPr>
          <w:color w:val="231F20"/>
          <w:spacing w:val="-4"/>
          <w:w w:val="105"/>
        </w:rPr>
        <w:t>rather, </w:t>
      </w:r>
      <w:r>
        <w:rPr>
          <w:color w:val="231F20"/>
          <w:w w:val="105"/>
        </w:rPr>
        <w:t>the main focal point can be to one side or at the top or </w:t>
      </w:r>
      <w:r>
        <w:rPr>
          <w:color w:val="231F20"/>
          <w:spacing w:val="-2"/>
          <w:w w:val="105"/>
        </w:rPr>
        <w:t>bottom </w:t>
      </w:r>
      <w:r>
        <w:rPr>
          <w:color w:val="231F20"/>
          <w:w w:val="105"/>
        </w:rPr>
        <w:t>of</w:t>
      </w:r>
      <w:r>
        <w:rPr>
          <w:color w:val="231F20"/>
          <w:spacing w:val="-5"/>
          <w:w w:val="105"/>
        </w:rPr>
        <w:t> </w:t>
      </w:r>
      <w:r>
        <w:rPr>
          <w:color w:val="231F20"/>
          <w:w w:val="105"/>
        </w:rPr>
        <w:t>the</w:t>
      </w:r>
      <w:r>
        <w:rPr>
          <w:color w:val="231F20"/>
          <w:spacing w:val="-5"/>
          <w:w w:val="105"/>
        </w:rPr>
        <w:t> </w:t>
      </w:r>
      <w:r>
        <w:rPr>
          <w:color w:val="231F20"/>
          <w:w w:val="105"/>
        </w:rPr>
        <w:t>image.</w:t>
      </w:r>
      <w:r>
        <w:rPr>
          <w:color w:val="231F20"/>
          <w:spacing w:val="-5"/>
          <w:w w:val="105"/>
        </w:rPr>
        <w:t> </w:t>
      </w:r>
      <w:r>
        <w:rPr>
          <w:color w:val="231F20"/>
          <w:spacing w:val="-4"/>
          <w:w w:val="105"/>
        </w:rPr>
        <w:t>It’s </w:t>
      </w:r>
      <w:r>
        <w:rPr>
          <w:color w:val="231F20"/>
          <w:w w:val="105"/>
        </w:rPr>
        <w:t>a</w:t>
      </w:r>
      <w:r>
        <w:rPr>
          <w:color w:val="231F20"/>
          <w:spacing w:val="-5"/>
          <w:w w:val="105"/>
        </w:rPr>
        <w:t> </w:t>
      </w:r>
      <w:r>
        <w:rPr>
          <w:color w:val="231F20"/>
          <w:w w:val="105"/>
        </w:rPr>
        <w:t>tool</w:t>
      </w:r>
      <w:r>
        <w:rPr>
          <w:color w:val="231F20"/>
          <w:spacing w:val="-5"/>
          <w:w w:val="105"/>
        </w:rPr>
        <w:t> </w:t>
      </w:r>
      <w:r>
        <w:rPr>
          <w:color w:val="231F20"/>
          <w:w w:val="105"/>
        </w:rPr>
        <w:t>to</w:t>
      </w:r>
      <w:r>
        <w:rPr>
          <w:color w:val="231F20"/>
          <w:spacing w:val="-5"/>
          <w:w w:val="105"/>
        </w:rPr>
        <w:t> </w:t>
      </w:r>
      <w:r>
        <w:rPr>
          <w:color w:val="231F20"/>
          <w:w w:val="105"/>
        </w:rPr>
        <w:t>help</w:t>
      </w:r>
      <w:r>
        <w:rPr>
          <w:color w:val="231F20"/>
          <w:spacing w:val="-4"/>
          <w:w w:val="105"/>
        </w:rPr>
        <w:t> </w:t>
      </w:r>
      <w:r>
        <w:rPr>
          <w:color w:val="231F20"/>
          <w:w w:val="105"/>
        </w:rPr>
        <w:t>artists</w:t>
      </w:r>
      <w:r>
        <w:rPr>
          <w:color w:val="231F20"/>
          <w:spacing w:val="-5"/>
          <w:w w:val="105"/>
        </w:rPr>
        <w:t> </w:t>
      </w:r>
      <w:r>
        <w:rPr>
          <w:color w:val="231F20"/>
          <w:w w:val="105"/>
        </w:rPr>
        <w:t>draw</w:t>
      </w:r>
      <w:r>
        <w:rPr>
          <w:color w:val="231F20"/>
          <w:spacing w:val="-5"/>
          <w:w w:val="105"/>
        </w:rPr>
        <w:t> </w:t>
      </w:r>
      <w:r>
        <w:rPr>
          <w:color w:val="231F20"/>
          <w:w w:val="105"/>
        </w:rPr>
        <w:t>the</w:t>
      </w:r>
      <w:r>
        <w:rPr>
          <w:color w:val="231F20"/>
          <w:spacing w:val="-4"/>
          <w:w w:val="105"/>
        </w:rPr>
        <w:t> </w:t>
      </w:r>
      <w:r>
        <w:rPr>
          <w:color w:val="231F20"/>
          <w:spacing w:val="-3"/>
          <w:w w:val="105"/>
        </w:rPr>
        <w:t>viewer’s </w:t>
      </w:r>
      <w:r>
        <w:rPr>
          <w:color w:val="231F20"/>
          <w:w w:val="105"/>
        </w:rPr>
        <w:t>eye into the composition, rather than just glancing at the</w:t>
      </w:r>
      <w:r>
        <w:rPr>
          <w:color w:val="231F20"/>
          <w:spacing w:val="8"/>
          <w:w w:val="105"/>
        </w:rPr>
        <w:t> </w:t>
      </w:r>
      <w:r>
        <w:rPr>
          <w:color w:val="231F20"/>
          <w:spacing w:val="-4"/>
          <w:w w:val="105"/>
        </w:rPr>
        <w:t>center.</w:t>
      </w:r>
    </w:p>
    <w:p>
      <w:pPr>
        <w:pStyle w:val="BodyText"/>
        <w:spacing w:line="237" w:lineRule="auto"/>
        <w:ind w:left="4469" w:right="137" w:firstLine="300"/>
      </w:pPr>
      <w:r>
        <w:rPr/>
        <w:pict>
          <v:group style="position:absolute;margin-left:153.274002pt;margin-top:21.675032pt;width:131.9pt;height:115.95pt;mso-position-horizontal-relative:page;mso-position-vertical-relative:paragraph;z-index:15729152" coordorigin="3065,434" coordsize="2638,2319">
            <v:shape style="position:absolute;left:3065;top:433;width:2638;height:2319" type="#_x0000_t75" stroked="false">
              <v:imagedata r:id="rId5" o:title=""/>
            </v:shape>
            <v:shape style="position:absolute;left:3065;top:1211;width:2638;height:756" type="#_x0000_t75" stroked="false">
              <v:imagedata r:id="rId6" o:title=""/>
            </v:shape>
            <w10:wrap type="none"/>
          </v:group>
        </w:pict>
      </w:r>
      <w:r>
        <w:rPr/>
        <w:pict>
          <v:shapetype id="_x0000_t202" o:spt="202" coordsize="21600,21600" path="m,l,21600r21600,l21600,xe">
            <v:stroke joinstyle="miter"/>
            <v:path gradientshapeok="t" o:connecttype="rect"/>
          </v:shapetype>
          <v:shape style="position:absolute;margin-left:153.273605pt;margin-top:21.675032pt;width:131.9pt;height:115.95pt;mso-position-horizontal-relative:page;mso-position-vertical-relative:paragraph;z-index:15730176" type="#_x0000_t202"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87"/>
                    <w:gridCol w:w="876"/>
                    <w:gridCol w:w="875"/>
                  </w:tblGrid>
                  <w:tr>
                    <w:trPr>
                      <w:trHeight w:val="754" w:hRule="atLeast"/>
                    </w:trPr>
                    <w:tc>
                      <w:tcPr>
                        <w:tcW w:w="887" w:type="dxa"/>
                        <w:tcBorders>
                          <w:bottom w:val="dashSmallGap" w:sz="12" w:space="0" w:color="EA1D25"/>
                          <w:right w:val="dashSmallGap" w:sz="6" w:space="0" w:color="00AEEF"/>
                        </w:tcBorders>
                      </w:tcPr>
                      <w:p>
                        <w:pPr>
                          <w:pStyle w:val="TableParagraph"/>
                          <w:rPr>
                            <w:sz w:val="18"/>
                          </w:rPr>
                        </w:pPr>
                      </w:p>
                    </w:tc>
                    <w:tc>
                      <w:tcPr>
                        <w:tcW w:w="876" w:type="dxa"/>
                        <w:tcBorders>
                          <w:left w:val="dashSmallGap" w:sz="6" w:space="0" w:color="00AEEF"/>
                          <w:bottom w:val="dashSmallGap" w:sz="12" w:space="0" w:color="EA1D25"/>
                          <w:right w:val="dashSmallGap" w:sz="6" w:space="0" w:color="00AEEF"/>
                        </w:tcBorders>
                      </w:tcPr>
                      <w:p>
                        <w:pPr>
                          <w:pStyle w:val="TableParagraph"/>
                          <w:rPr>
                            <w:sz w:val="18"/>
                          </w:rPr>
                        </w:pPr>
                      </w:p>
                    </w:tc>
                    <w:tc>
                      <w:tcPr>
                        <w:tcW w:w="875" w:type="dxa"/>
                        <w:tcBorders>
                          <w:left w:val="dashSmallGap" w:sz="6" w:space="0" w:color="00AEEF"/>
                          <w:bottom w:val="dashSmallGap" w:sz="12" w:space="0" w:color="EA1D25"/>
                        </w:tcBorders>
                      </w:tcPr>
                      <w:p>
                        <w:pPr>
                          <w:pStyle w:val="TableParagraph"/>
                          <w:rPr>
                            <w:sz w:val="18"/>
                          </w:rPr>
                        </w:pPr>
                      </w:p>
                    </w:tc>
                  </w:tr>
                  <w:tr>
                    <w:trPr>
                      <w:trHeight w:val="738" w:hRule="atLeast"/>
                    </w:trPr>
                    <w:tc>
                      <w:tcPr>
                        <w:tcW w:w="887" w:type="dxa"/>
                        <w:tcBorders>
                          <w:top w:val="dashSmallGap" w:sz="12" w:space="0" w:color="EA1D25"/>
                          <w:bottom w:val="dashSmallGap" w:sz="12" w:space="0" w:color="EA1D25"/>
                          <w:right w:val="dashSmallGap" w:sz="6" w:space="0" w:color="00AEEF"/>
                        </w:tcBorders>
                      </w:tcPr>
                      <w:p>
                        <w:pPr>
                          <w:pStyle w:val="TableParagraph"/>
                          <w:rPr>
                            <w:sz w:val="18"/>
                          </w:rPr>
                        </w:pPr>
                      </w:p>
                    </w:tc>
                    <w:tc>
                      <w:tcPr>
                        <w:tcW w:w="876" w:type="dxa"/>
                        <w:tcBorders>
                          <w:top w:val="dashSmallGap" w:sz="12" w:space="0" w:color="EA1D25"/>
                          <w:left w:val="dashSmallGap" w:sz="6" w:space="0" w:color="00AEEF"/>
                          <w:bottom w:val="dashSmallGap" w:sz="12" w:space="0" w:color="EA1D25"/>
                          <w:right w:val="dashSmallGap" w:sz="6" w:space="0" w:color="00AEEF"/>
                        </w:tcBorders>
                      </w:tcPr>
                      <w:p>
                        <w:pPr>
                          <w:pStyle w:val="TableParagraph"/>
                          <w:rPr>
                            <w:sz w:val="18"/>
                          </w:rPr>
                        </w:pPr>
                      </w:p>
                    </w:tc>
                    <w:tc>
                      <w:tcPr>
                        <w:tcW w:w="875" w:type="dxa"/>
                        <w:tcBorders>
                          <w:top w:val="dashSmallGap" w:sz="12" w:space="0" w:color="EA1D25"/>
                          <w:left w:val="dashSmallGap" w:sz="6" w:space="0" w:color="00AEEF"/>
                          <w:bottom w:val="dashSmallGap" w:sz="12" w:space="0" w:color="EA1D25"/>
                        </w:tcBorders>
                      </w:tcPr>
                      <w:p>
                        <w:pPr>
                          <w:pStyle w:val="TableParagraph"/>
                          <w:rPr>
                            <w:sz w:val="18"/>
                          </w:rPr>
                        </w:pPr>
                      </w:p>
                    </w:tc>
                  </w:tr>
                  <w:tr>
                    <w:trPr>
                      <w:trHeight w:val="765" w:hRule="atLeast"/>
                    </w:trPr>
                    <w:tc>
                      <w:tcPr>
                        <w:tcW w:w="887" w:type="dxa"/>
                        <w:tcBorders>
                          <w:top w:val="dashSmallGap" w:sz="12" w:space="0" w:color="EA1D25"/>
                          <w:right w:val="dashSmallGap" w:sz="6" w:space="0" w:color="00AEEF"/>
                        </w:tcBorders>
                      </w:tcPr>
                      <w:p>
                        <w:pPr>
                          <w:pStyle w:val="TableParagraph"/>
                          <w:rPr>
                            <w:sz w:val="18"/>
                          </w:rPr>
                        </w:pPr>
                      </w:p>
                    </w:tc>
                    <w:tc>
                      <w:tcPr>
                        <w:tcW w:w="876" w:type="dxa"/>
                        <w:tcBorders>
                          <w:top w:val="dashSmallGap" w:sz="12" w:space="0" w:color="EA1D25"/>
                          <w:left w:val="dashSmallGap" w:sz="6" w:space="0" w:color="00AEEF"/>
                          <w:right w:val="dashSmallGap" w:sz="6" w:space="0" w:color="00AEEF"/>
                        </w:tcBorders>
                      </w:tcPr>
                      <w:p>
                        <w:pPr>
                          <w:pStyle w:val="TableParagraph"/>
                          <w:rPr>
                            <w:sz w:val="18"/>
                          </w:rPr>
                        </w:pPr>
                      </w:p>
                    </w:tc>
                    <w:tc>
                      <w:tcPr>
                        <w:tcW w:w="875" w:type="dxa"/>
                        <w:tcBorders>
                          <w:top w:val="dashSmallGap" w:sz="12" w:space="0" w:color="EA1D25"/>
                          <w:left w:val="dashSmallGap" w:sz="6" w:space="0" w:color="00AEEF"/>
                        </w:tcBorders>
                      </w:tcPr>
                      <w:p>
                        <w:pPr>
                          <w:pStyle w:val="TableParagraph"/>
                          <w:rPr>
                            <w:sz w:val="18"/>
                          </w:rPr>
                        </w:pPr>
                      </w:p>
                    </w:tc>
                  </w:tr>
                </w:tbl>
                <w:p>
                  <w:pPr>
                    <w:pStyle w:val="BodyText"/>
                  </w:pPr>
                </w:p>
              </w:txbxContent>
            </v:textbox>
            <w10:wrap type="none"/>
          </v:shape>
        </w:pict>
      </w:r>
      <w:r>
        <w:rPr>
          <w:color w:val="231F20"/>
          <w:w w:val="105"/>
        </w:rPr>
        <w:t>Georgia O’Keeffe was aware of this  principle, which can be seen in the artwork at left. Lines overlaid on an outline of the painting show how she organized the</w:t>
      </w:r>
      <w:r>
        <w:rPr>
          <w:color w:val="231F20"/>
          <w:spacing w:val="12"/>
          <w:w w:val="105"/>
        </w:rPr>
        <w:t> </w:t>
      </w:r>
      <w:r>
        <w:rPr>
          <w:color w:val="231F20"/>
          <w:w w:val="105"/>
        </w:rPr>
        <w:t>composition.</w:t>
      </w:r>
    </w:p>
    <w:p>
      <w:pPr>
        <w:pStyle w:val="BodyText"/>
        <w:spacing w:before="12"/>
        <w:rPr>
          <w:sz w:val="17"/>
        </w:rPr>
      </w:pPr>
    </w:p>
    <w:p>
      <w:pPr>
        <w:spacing w:after="0"/>
        <w:rPr>
          <w:sz w:val="17"/>
        </w:rPr>
        <w:sectPr>
          <w:type w:val="continuous"/>
          <w:pgSz w:w="11340" w:h="15480"/>
          <w:pgMar w:top="1340" w:bottom="280" w:left="1600" w:right="660"/>
        </w:sectPr>
      </w:pPr>
    </w:p>
    <w:p>
      <w:pPr>
        <w:pStyle w:val="BodyText"/>
        <w:rPr>
          <w:sz w:val="14"/>
        </w:rPr>
      </w:pPr>
      <w:r>
        <w:rPr/>
        <w:pict>
          <v:group style="position:absolute;margin-left:-.000002pt;margin-top:-.00005pt;width:567pt;height:774pt;mso-position-horizontal-relative:page;mso-position-vertical-relative:page;z-index:-15783936" coordorigin="0,0" coordsize="11340,15480">
            <v:shape style="position:absolute;left:0;top:0;width:11340;height:15480" type="#_x0000_t75" stroked="false">
              <v:imagedata r:id="rId7" o:title=""/>
            </v:shape>
            <v:shape style="position:absolute;left:3065;top:1421;width:2638;height:2301" type="#_x0000_t75" stroked="false">
              <v:imagedata r:id="rId8" o:title=""/>
            </v:shape>
            <v:rect style="position:absolute;left:3070;top:1426;width:2628;height:2291" filled="false" stroked="true" strokeweight=".5pt" strokecolor="#ffffff">
              <v:stroke dashstyle="solid"/>
            </v:rect>
            <v:rect style="position:absolute;left:3067;top:7992;width:7553;height:6466" filled="true" fillcolor="#ffffff" stroked="false">
              <v:fill type="solid"/>
            </v:rect>
            <v:line style="position:absolute" from="5603,7992" to="5603,14458" stroked="true" strokeweight=".6pt" strokecolor="#00aeef">
              <v:stroke dashstyle="shortdot"/>
            </v:line>
            <v:line style="position:absolute" from="8119,7992" to="8119,14458" stroked="true" strokeweight=".6pt" strokecolor="#00aeef">
              <v:stroke dashstyle="shortdot"/>
            </v:line>
            <v:line style="position:absolute" from="3067,10135" to="10620,10135" stroked="true" strokeweight=".6pt" strokecolor="#00aeef">
              <v:stroke dashstyle="shortdot"/>
            </v:line>
            <v:line style="position:absolute" from="3067,12285" to="10620,12285" stroked="true" strokeweight=".6pt" strokecolor="#00aeef">
              <v:stroke dashstyle="shortdot"/>
            </v:line>
            <v:shape style="position:absolute;left:5529;top:10058;width:152;height:152" type="#_x0000_t75" stroked="false">
              <v:imagedata r:id="rId9" o:title=""/>
            </v:shape>
            <v:shape style="position:absolute;left:5529;top:12211;width:152;height:152" type="#_x0000_t75" stroked="false">
              <v:imagedata r:id="rId9" o:title=""/>
            </v:shape>
            <v:shape style="position:absolute;left:8042;top:12211;width:152;height:152" type="#_x0000_t75" stroked="false">
              <v:imagedata r:id="rId9" o:title=""/>
            </v:shape>
            <v:shape style="position:absolute;left:8042;top:10058;width:152;height:152" type="#_x0000_t75" stroked="false">
              <v:imagedata r:id="rId9" o:title=""/>
            </v:shape>
            <w10:wrap type="none"/>
          </v:group>
        </w:pict>
      </w:r>
      <w:r>
        <w:rPr/>
        <w:pict>
          <v:shape style="position:absolute;margin-left:32.352497pt;margin-top:188.337341pt;width:58.35pt;height:397.35pt;mso-position-horizontal-relative:page;mso-position-vertical-relative:page;z-index:-15782912" type="#_x0000_t202" filled="false" stroked="false">
            <v:textbox inset="0,0,0,0" style="layout-flow:vertical;mso-layout-flow-alt:bottom-to-top">
              <w:txbxContent>
                <w:p>
                  <w:pPr>
                    <w:spacing w:line="1114" w:lineRule="exact" w:before="0"/>
                    <w:ind w:left="20" w:right="0" w:firstLine="0"/>
                    <w:jc w:val="left"/>
                    <w:rPr>
                      <w:rFonts w:ascii="Trebuchet MS"/>
                      <w:sz w:val="112"/>
                    </w:rPr>
                  </w:pPr>
                  <w:r>
                    <w:rPr>
                      <w:rFonts w:ascii="Trebuchet MS"/>
                      <w:color w:val="FFFFFF"/>
                      <w:spacing w:val="-47"/>
                      <w:sz w:val="112"/>
                    </w:rPr>
                    <w:t>Creative</w:t>
                  </w:r>
                  <w:r>
                    <w:rPr>
                      <w:rFonts w:ascii="Trebuchet MS"/>
                      <w:color w:val="FFFFFF"/>
                      <w:spacing w:val="97"/>
                      <w:sz w:val="112"/>
                    </w:rPr>
                    <w:t> </w:t>
                  </w:r>
                  <w:r>
                    <w:rPr>
                      <w:rFonts w:ascii="Trebuchet MS"/>
                      <w:color w:val="FFFFFF"/>
                      <w:spacing w:val="-35"/>
                      <w:sz w:val="112"/>
                    </w:rPr>
                    <w:t>Activity</w:t>
                  </w:r>
                </w:p>
              </w:txbxContent>
            </v:textbox>
            <w10:wrap type="none"/>
          </v:shape>
        </w:pict>
      </w:r>
    </w:p>
    <w:p>
      <w:pPr>
        <w:pStyle w:val="BodyText"/>
        <w:rPr>
          <w:sz w:val="14"/>
        </w:rPr>
      </w:pPr>
    </w:p>
    <w:p>
      <w:pPr>
        <w:pStyle w:val="BodyText"/>
        <w:rPr>
          <w:sz w:val="14"/>
        </w:rPr>
      </w:pPr>
    </w:p>
    <w:p>
      <w:pPr>
        <w:pStyle w:val="BodyText"/>
        <w:rPr>
          <w:sz w:val="14"/>
        </w:rPr>
      </w:pPr>
    </w:p>
    <w:p>
      <w:pPr>
        <w:pStyle w:val="BodyText"/>
        <w:rPr>
          <w:sz w:val="14"/>
        </w:rPr>
      </w:pPr>
    </w:p>
    <w:p>
      <w:pPr>
        <w:pStyle w:val="BodyText"/>
        <w:rPr>
          <w:sz w:val="14"/>
        </w:rPr>
      </w:pPr>
    </w:p>
    <w:p>
      <w:pPr>
        <w:pStyle w:val="BodyText"/>
        <w:rPr>
          <w:sz w:val="14"/>
        </w:rPr>
      </w:pPr>
    </w:p>
    <w:p>
      <w:pPr>
        <w:pStyle w:val="BodyText"/>
        <w:rPr>
          <w:sz w:val="14"/>
        </w:rPr>
      </w:pPr>
    </w:p>
    <w:p>
      <w:pPr>
        <w:pStyle w:val="BodyText"/>
        <w:rPr>
          <w:sz w:val="14"/>
        </w:rPr>
      </w:pPr>
    </w:p>
    <w:p>
      <w:pPr>
        <w:pStyle w:val="BodyText"/>
        <w:rPr>
          <w:sz w:val="14"/>
        </w:rPr>
      </w:pPr>
    </w:p>
    <w:p>
      <w:pPr>
        <w:pStyle w:val="BodyText"/>
        <w:spacing w:before="3"/>
        <w:rPr>
          <w:sz w:val="13"/>
        </w:rPr>
      </w:pPr>
    </w:p>
    <w:p>
      <w:pPr>
        <w:spacing w:line="249" w:lineRule="auto" w:before="0"/>
        <w:ind w:left="1474" w:right="0" w:firstLine="0"/>
        <w:jc w:val="left"/>
        <w:rPr>
          <w:sz w:val="11"/>
        </w:rPr>
      </w:pPr>
      <w:r>
        <w:rPr>
          <w:color w:val="231F20"/>
          <w:w w:val="110"/>
          <w:sz w:val="11"/>
        </w:rPr>
        <w:t>TOP: Georgia O’Keeffe. </w:t>
      </w:r>
      <w:r>
        <w:rPr>
          <w:i/>
          <w:color w:val="231F20"/>
          <w:w w:val="110"/>
          <w:sz w:val="11"/>
        </w:rPr>
        <w:t>Black Place III</w:t>
      </w:r>
      <w:r>
        <w:rPr>
          <w:color w:val="231F20"/>
          <w:w w:val="110"/>
          <w:sz w:val="11"/>
        </w:rPr>
        <w:t>, 1944. Oil on canvas, 36 x 40 in. Georgia O’Keeffe Museum. Gift of The Burnett Foundation. © 1987, Private Collection.</w:t>
      </w:r>
    </w:p>
    <w:p>
      <w:pPr>
        <w:spacing w:before="99"/>
        <w:ind w:left="312" w:right="0" w:firstLine="0"/>
        <w:jc w:val="left"/>
        <w:rPr>
          <w:rFonts w:ascii="Century Gothic" w:hAnsi="Century Gothic"/>
          <w:b/>
          <w:sz w:val="19"/>
        </w:rPr>
      </w:pPr>
      <w:r>
        <w:rPr/>
        <w:br w:type="column"/>
      </w:r>
      <w:r>
        <w:rPr>
          <w:rFonts w:ascii="Century Gothic" w:hAnsi="Century Gothic"/>
          <w:b/>
          <w:color w:val="231F20"/>
          <w:sz w:val="19"/>
        </w:rPr>
        <w:t>LET’S TRY IT!</w:t>
      </w:r>
    </w:p>
    <w:p>
      <w:pPr>
        <w:pStyle w:val="BodyText"/>
        <w:spacing w:before="127"/>
        <w:ind w:left="312" w:right="198"/>
      </w:pPr>
      <w:r>
        <w:rPr>
          <w:color w:val="231F20"/>
          <w:w w:val="105"/>
        </w:rPr>
        <w:t>On your sheet of paper or canvas, draw four equally spaced lines, as below. This breaks the space into three horizontal and three vertical sections. The four points where the lines meet are visual “hot spots”— good areas to position things you want the viewer</w:t>
      </w:r>
    </w:p>
    <w:p>
      <w:pPr>
        <w:pStyle w:val="BodyText"/>
        <w:spacing w:line="222" w:lineRule="exact"/>
        <w:ind w:left="312"/>
      </w:pPr>
      <w:r>
        <w:rPr>
          <w:color w:val="231F20"/>
        </w:rPr>
        <w:t>to focus on.</w:t>
      </w:r>
    </w:p>
    <w:p>
      <w:pPr>
        <w:pStyle w:val="BodyText"/>
        <w:ind w:left="312" w:right="346" w:firstLine="300"/>
      </w:pPr>
      <w:r>
        <w:rPr>
          <w:color w:val="231F20"/>
          <w:w w:val="110"/>
        </w:rPr>
        <w:t>When the grid is ready, draw your own unique landscape inspired by O’Keeffe’s love of nature.</w:t>
      </w:r>
    </w:p>
    <w:sectPr>
      <w:type w:val="continuous"/>
      <w:pgSz w:w="11340" w:h="15480"/>
      <w:pgMar w:top="1340" w:bottom="280" w:left="1600" w:right="660"/>
      <w:cols w:num="2" w:equalWidth="0">
        <w:col w:w="4118" w:space="40"/>
        <w:col w:w="4922"/>
      </w:cols>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Calibri">
    <w:altName w:val="Calibri"/>
    <w:charset w:val="0"/>
    <w:family w:val="swiss"/>
    <w:pitch w:val="variable"/>
  </w:font>
  <w:font w:name="Century Gothic">
    <w:altName w:val="Century Gothic"/>
    <w:charset w:val="0"/>
    <w:family w:val="swiss"/>
    <w:pitch w:val="variable"/>
  </w:font>
  <w:font w:name="Trebuchet MS">
    <w:altName w:val="Trebuchet MS"/>
    <w:charset w:val="0"/>
    <w:family w:val="swiss"/>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libri" w:hAnsi="Calibri" w:eastAsia="Calibri" w:cs="Calibri"/>
      <w:lang w:val="en-us" w:eastAsia="en-US" w:bidi="ar-SA"/>
    </w:rPr>
  </w:style>
  <w:style w:styleId="BodyText" w:type="paragraph">
    <w:name w:val="Body Text"/>
    <w:basedOn w:val="Normal"/>
    <w:uiPriority w:val="1"/>
    <w:qFormat/>
    <w:pPr/>
    <w:rPr>
      <w:rFonts w:ascii="Calibri" w:hAnsi="Calibri" w:eastAsia="Calibri" w:cs="Calibri"/>
      <w:sz w:val="19"/>
      <w:szCs w:val="19"/>
      <w:lang w:val="en-us" w:eastAsia="en-US" w:bidi="ar-SA"/>
    </w:rPr>
  </w:style>
  <w:style w:styleId="Title" w:type="paragraph">
    <w:name w:val="Title"/>
    <w:basedOn w:val="Normal"/>
    <w:uiPriority w:val="1"/>
    <w:qFormat/>
    <w:pPr>
      <w:spacing w:line="1114" w:lineRule="exact"/>
      <w:ind w:left="20"/>
    </w:pPr>
    <w:rPr>
      <w:rFonts w:ascii="Trebuchet MS" w:hAnsi="Trebuchet MS" w:eastAsia="Trebuchet MS" w:cs="Trebuchet MS"/>
      <w:sz w:val="112"/>
      <w:szCs w:val="112"/>
      <w:lang w:val="en-us" w:eastAsia="en-US" w:bidi="ar-SA"/>
    </w:rPr>
  </w:style>
  <w:style w:styleId="ListParagraph" w:type="paragraph">
    <w:name w:val="List Paragraph"/>
    <w:basedOn w:val="Normal"/>
    <w:uiPriority w:val="1"/>
    <w:qFormat/>
    <w:pPr/>
    <w:rPr>
      <w:lang w:val="en-us" w:eastAsia="en-US" w:bidi="ar-SA"/>
    </w:rPr>
  </w:style>
  <w:style w:styleId="TableParagraph" w:type="paragraph">
    <w:name w:val="Table Paragraph"/>
    <w:basedOn w:val="Normal"/>
    <w:uiPriority w:val="1"/>
    <w:qFormat/>
    <w:pPr/>
    <w:rPr>
      <w:rFonts w:ascii="Times New Roman" w:hAnsi="Times New Roman" w:eastAsia="Times New Roman" w:cs="Times New Roman"/>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2020-11-23T14:43:47Z</dcterms:created>
  <dcterms:modified xsi:type="dcterms:W3CDTF">2020-11-23T14:43:47Z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2020-03-20T00:00:00Z</vt:filetime>
  </property>
  <property fmtid="{D5CDD505-2E9C-101B-9397-08002B2CF9AE}" pid="3" name="Creator">
    <vt:lpwstr>Adobe InDesign 14.0 (Macintosh)</vt:lpwstr>
  </property>
  <property fmtid="{D5CDD505-2E9C-101B-9397-08002B2CF9AE}" pid="4" name="LastSaved">
    <vt:filetime>2020-11-23T00:00:00Z</vt:filetime>
  </property>
</Properties>
</file>